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63F27876" w14:paraId="7466A807" wp14:textId="6C05C462">
      <w:pPr>
        <w:spacing w:after="160" w:line="259" w:lineRule="auto"/>
        <w:ind w:left="0"/>
        <w:jc w:val="center"/>
        <w:rPr>
          <w:rFonts w:ascii="Arial" w:hAnsi="Arial" w:eastAsia="Arial" w:cs="Arial"/>
          <w:b w:val="0"/>
          <w:bCs w:val="0"/>
          <w:i w:val="0"/>
          <w:iCs w:val="0"/>
          <w:caps w:val="0"/>
          <w:smallCaps w:val="0"/>
          <w:noProof w:val="0"/>
          <w:color w:val="000000" w:themeColor="text1" w:themeTint="FF" w:themeShade="FF"/>
          <w:sz w:val="28"/>
          <w:szCs w:val="28"/>
          <w:lang w:val="en-GB"/>
        </w:rPr>
      </w:pPr>
      <w:r w:rsidRPr="63F27876" w:rsidR="75AC5A27">
        <w:rPr>
          <w:rFonts w:ascii="Arial" w:hAnsi="Arial" w:eastAsia="Arial" w:cs="Arial"/>
          <w:b w:val="1"/>
          <w:bCs w:val="1"/>
          <w:i w:val="0"/>
          <w:iCs w:val="0"/>
          <w:caps w:val="0"/>
          <w:smallCaps w:val="0"/>
          <w:noProof w:val="0"/>
          <w:color w:val="000000" w:themeColor="text1" w:themeTint="FF" w:themeShade="FF"/>
          <w:sz w:val="28"/>
          <w:szCs w:val="28"/>
          <w:lang w:val="en-GB"/>
        </w:rPr>
        <w:t xml:space="preserve">Global </w:t>
      </w:r>
      <w:proofErr w:type="spellStart"/>
      <w:r w:rsidRPr="63F27876" w:rsidR="75AC5A27">
        <w:rPr>
          <w:rFonts w:ascii="Arial" w:hAnsi="Arial" w:eastAsia="Arial" w:cs="Arial"/>
          <w:b w:val="1"/>
          <w:bCs w:val="1"/>
          <w:i w:val="0"/>
          <w:iCs w:val="0"/>
          <w:caps w:val="0"/>
          <w:smallCaps w:val="0"/>
          <w:noProof w:val="0"/>
          <w:color w:val="000000" w:themeColor="text1" w:themeTint="FF" w:themeShade="FF"/>
          <w:sz w:val="28"/>
          <w:szCs w:val="28"/>
          <w:lang w:val="en-GB"/>
        </w:rPr>
        <w:t>Englishes</w:t>
      </w:r>
      <w:proofErr w:type="spellEnd"/>
      <w:r w:rsidRPr="63F27876" w:rsidR="75AC5A27">
        <w:rPr>
          <w:rFonts w:ascii="Arial" w:hAnsi="Arial" w:eastAsia="Arial" w:cs="Arial"/>
          <w:b w:val="1"/>
          <w:bCs w:val="1"/>
          <w:i w:val="0"/>
          <w:iCs w:val="0"/>
          <w:caps w:val="0"/>
          <w:smallCaps w:val="0"/>
          <w:noProof w:val="0"/>
          <w:color w:val="000000" w:themeColor="text1" w:themeTint="FF" w:themeShade="FF"/>
          <w:sz w:val="28"/>
          <w:szCs w:val="28"/>
          <w:lang w:val="en-GB"/>
        </w:rPr>
        <w:t xml:space="preserve"> Language Teaching: </w:t>
      </w:r>
    </w:p>
    <w:p xmlns:wp14="http://schemas.microsoft.com/office/word/2010/wordml" w:rsidP="63F27876" w14:paraId="04D616AF" wp14:textId="3AA4DEF0">
      <w:pPr>
        <w:spacing w:after="160" w:line="259" w:lineRule="auto"/>
        <w:ind w:left="0"/>
        <w:rPr>
          <w:rFonts w:ascii="Arial" w:hAnsi="Arial" w:eastAsia="Arial" w:cs="Arial"/>
          <w:b w:val="0"/>
          <w:bCs w:val="0"/>
          <w:i w:val="0"/>
          <w:iCs w:val="0"/>
          <w:caps w:val="0"/>
          <w:smallCaps w:val="0"/>
          <w:noProof w:val="0"/>
          <w:color w:val="000000" w:themeColor="text1" w:themeTint="FF" w:themeShade="FF"/>
          <w:sz w:val="28"/>
          <w:szCs w:val="28"/>
          <w:lang w:val="en-GB"/>
        </w:rPr>
      </w:pPr>
      <w:r w:rsidRPr="63F27876" w:rsidR="75AC5A27">
        <w:rPr>
          <w:rFonts w:ascii="Arial" w:hAnsi="Arial" w:eastAsia="Arial" w:cs="Arial"/>
          <w:b w:val="1"/>
          <w:bCs w:val="1"/>
          <w:i w:val="0"/>
          <w:iCs w:val="0"/>
          <w:caps w:val="0"/>
          <w:smallCaps w:val="0"/>
          <w:noProof w:val="0"/>
          <w:color w:val="000000" w:themeColor="text1" w:themeTint="FF" w:themeShade="FF"/>
          <w:sz w:val="28"/>
          <w:szCs w:val="28"/>
          <w:lang w:val="en-GB"/>
        </w:rPr>
        <w:t>This study generated the following outputs:</w:t>
      </w:r>
    </w:p>
    <w:p xmlns:wp14="http://schemas.microsoft.com/office/word/2010/wordml" w:rsidP="63F27876" w14:paraId="21056378" wp14:textId="0ED372AD">
      <w:pPr>
        <w:spacing w:after="160" w:line="259" w:lineRule="auto"/>
        <w:ind w:left="0"/>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 xml:space="preserve">Rose, H. and Galloway, N. (2019). </w:t>
      </w:r>
      <w:r w:rsidRPr="63F27876" w:rsidR="75AC5A27">
        <w:rPr>
          <w:rFonts w:ascii="Arial" w:hAnsi="Arial" w:eastAsia="Arial" w:cs="Arial"/>
          <w:b w:val="0"/>
          <w:bCs w:val="0"/>
          <w:i w:val="1"/>
          <w:iCs w:val="1"/>
          <w:caps w:val="0"/>
          <w:smallCaps w:val="0"/>
          <w:noProof w:val="0"/>
          <w:color w:val="000000" w:themeColor="text1" w:themeTint="FF" w:themeShade="FF"/>
          <w:sz w:val="24"/>
          <w:szCs w:val="24"/>
          <w:lang w:val="en-GB"/>
        </w:rPr>
        <w:t xml:space="preserve">Global </w:t>
      </w:r>
      <w:proofErr w:type="spellStart"/>
      <w:r w:rsidRPr="63F27876" w:rsidR="75AC5A27">
        <w:rPr>
          <w:rFonts w:ascii="Arial" w:hAnsi="Arial" w:eastAsia="Arial" w:cs="Arial"/>
          <w:b w:val="0"/>
          <w:bCs w:val="0"/>
          <w:i w:val="1"/>
          <w:iCs w:val="1"/>
          <w:caps w:val="0"/>
          <w:smallCaps w:val="0"/>
          <w:noProof w:val="0"/>
          <w:color w:val="000000" w:themeColor="text1" w:themeTint="FF" w:themeShade="FF"/>
          <w:sz w:val="24"/>
          <w:szCs w:val="24"/>
          <w:lang w:val="en-GB"/>
        </w:rPr>
        <w:t>Englishes</w:t>
      </w:r>
      <w:proofErr w:type="spellEnd"/>
      <w:r w:rsidRPr="63F27876" w:rsidR="75AC5A27">
        <w:rPr>
          <w:rFonts w:ascii="Arial" w:hAnsi="Arial" w:eastAsia="Arial" w:cs="Arial"/>
          <w:b w:val="0"/>
          <w:bCs w:val="0"/>
          <w:i w:val="1"/>
          <w:iCs w:val="1"/>
          <w:caps w:val="0"/>
          <w:smallCaps w:val="0"/>
          <w:noProof w:val="0"/>
          <w:color w:val="000000" w:themeColor="text1" w:themeTint="FF" w:themeShade="FF"/>
          <w:sz w:val="24"/>
          <w:szCs w:val="24"/>
          <w:lang w:val="en-GB"/>
        </w:rPr>
        <w:t xml:space="preserve"> for Language Teaching</w:t>
      </w: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 xml:space="preserve">. Cambridge University Press. </w:t>
      </w:r>
    </w:p>
    <w:p xmlns:wp14="http://schemas.microsoft.com/office/word/2010/wordml" w:rsidP="195520A1" w14:paraId="36751769" wp14:textId="75A7C040">
      <w:pPr>
        <w:spacing w:after="160" w:line="259" w:lineRule="auto"/>
        <w:ind w:left="0"/>
        <w:rPr>
          <w:rFonts w:ascii="Arial" w:hAnsi="Arial" w:eastAsia="Arial" w:cs="Arial"/>
          <w:b w:val="0"/>
          <w:bCs w:val="0"/>
          <w:i w:val="0"/>
          <w:iCs w:val="0"/>
          <w:caps w:val="0"/>
          <w:smallCaps w:val="0"/>
          <w:noProof w:val="0"/>
          <w:color w:val="282828"/>
          <w:sz w:val="24"/>
          <w:szCs w:val="24"/>
          <w:lang w:val="en-GB"/>
        </w:rPr>
      </w:pPr>
      <w:r w:rsidRPr="195520A1" w:rsidR="75AC5A27">
        <w:rPr>
          <w:rFonts w:ascii="Arial" w:hAnsi="Arial" w:eastAsia="Arial" w:cs="Arial"/>
          <w:b w:val="0"/>
          <w:bCs w:val="0"/>
          <w:i w:val="0"/>
          <w:iCs w:val="0"/>
          <w:caps w:val="0"/>
          <w:smallCaps w:val="0"/>
          <w:noProof w:val="0"/>
          <w:color w:val="000000" w:themeColor="text1" w:themeTint="FF" w:themeShade="FF"/>
          <w:sz w:val="24"/>
          <w:szCs w:val="24"/>
          <w:lang w:val="en-GB"/>
        </w:rPr>
        <w:t xml:space="preserve">Galloway, N and </w:t>
      </w:r>
      <w:r w:rsidRPr="195520A1" w:rsidR="75AC5A27">
        <w:rPr>
          <w:rFonts w:ascii="Arial" w:hAnsi="Arial" w:eastAsia="Arial" w:cs="Arial"/>
          <w:b w:val="0"/>
          <w:bCs w:val="0"/>
          <w:i w:val="0"/>
          <w:iCs w:val="0"/>
          <w:caps w:val="0"/>
          <w:smallCaps w:val="0"/>
          <w:noProof w:val="0"/>
          <w:color w:val="000000" w:themeColor="text1" w:themeTint="FF" w:themeShade="FF"/>
          <w:sz w:val="24"/>
          <w:szCs w:val="24"/>
          <w:lang w:val="en-GB"/>
        </w:rPr>
        <w:t>Numajiri</w:t>
      </w:r>
      <w:r w:rsidRPr="195520A1" w:rsidR="75AC5A27">
        <w:rPr>
          <w:rFonts w:ascii="Arial" w:hAnsi="Arial" w:eastAsia="Arial" w:cs="Arial"/>
          <w:b w:val="0"/>
          <w:bCs w:val="0"/>
          <w:i w:val="0"/>
          <w:iCs w:val="0"/>
          <w:caps w:val="0"/>
          <w:smallCaps w:val="0"/>
          <w:noProof w:val="0"/>
          <w:color w:val="000000" w:themeColor="text1" w:themeTint="FF" w:themeShade="FF"/>
          <w:sz w:val="24"/>
          <w:szCs w:val="24"/>
          <w:lang w:val="en-GB"/>
        </w:rPr>
        <w:t>, T. (2020</w:t>
      </w:r>
      <w:r w:rsidRPr="195520A1" w:rsidR="75AC5A27">
        <w:rPr>
          <w:rFonts w:ascii="Arial" w:hAnsi="Arial" w:eastAsia="Arial" w:cs="Arial"/>
          <w:b w:val="0"/>
          <w:bCs w:val="0"/>
          <w:i w:val="1"/>
          <w:iCs w:val="1"/>
          <w:caps w:val="0"/>
          <w:smallCaps w:val="0"/>
          <w:noProof w:val="0"/>
          <w:color w:val="000000" w:themeColor="text1" w:themeTint="FF" w:themeShade="FF"/>
          <w:sz w:val="24"/>
          <w:szCs w:val="24"/>
          <w:lang w:val="en-GB"/>
        </w:rPr>
        <w:t>).</w:t>
      </w:r>
      <w:r w:rsidRPr="195520A1" w:rsidR="75AC5A27">
        <w:rPr>
          <w:rFonts w:ascii="Arial" w:hAnsi="Arial" w:eastAsia="Arial" w:cs="Arial"/>
          <w:b w:val="0"/>
          <w:bCs w:val="0"/>
          <w:i w:val="1"/>
          <w:iCs w:val="1"/>
          <w:caps w:val="0"/>
          <w:smallCaps w:val="0"/>
          <w:noProof w:val="0"/>
          <w:color w:val="282828"/>
          <w:sz w:val="24"/>
          <w:szCs w:val="24"/>
          <w:lang w:val="en-GB"/>
        </w:rPr>
        <w:t xml:space="preserve"> </w:t>
      </w:r>
      <w:r w:rsidRPr="195520A1" w:rsidR="75AC5A27">
        <w:rPr>
          <w:rFonts w:ascii="Arial" w:hAnsi="Arial" w:eastAsia="Arial" w:cs="Arial"/>
          <w:b w:val="0"/>
          <w:bCs w:val="0"/>
          <w:i w:val="1"/>
          <w:iCs w:val="1"/>
          <w:caps w:val="0"/>
          <w:smallCaps w:val="0"/>
          <w:noProof w:val="0"/>
          <w:color w:val="282828"/>
          <w:sz w:val="24"/>
          <w:szCs w:val="24"/>
          <w:lang w:val="en-GB"/>
        </w:rPr>
        <w:t xml:space="preserve">Global </w:t>
      </w:r>
      <w:r w:rsidRPr="195520A1" w:rsidR="75AC5A27">
        <w:rPr>
          <w:rFonts w:ascii="Arial" w:hAnsi="Arial" w:eastAsia="Arial" w:cs="Arial"/>
          <w:b w:val="0"/>
          <w:bCs w:val="0"/>
          <w:i w:val="1"/>
          <w:iCs w:val="1"/>
          <w:caps w:val="0"/>
          <w:smallCaps w:val="0"/>
          <w:noProof w:val="0"/>
          <w:color w:val="282828"/>
          <w:sz w:val="24"/>
          <w:szCs w:val="24"/>
          <w:lang w:val="en-GB"/>
        </w:rPr>
        <w:t>Englishes</w:t>
      </w:r>
      <w:r w:rsidRPr="195520A1" w:rsidR="75AC5A27">
        <w:rPr>
          <w:rFonts w:ascii="Arial" w:hAnsi="Arial" w:eastAsia="Arial" w:cs="Arial"/>
          <w:b w:val="0"/>
          <w:bCs w:val="0"/>
          <w:i w:val="1"/>
          <w:iCs w:val="1"/>
          <w:caps w:val="0"/>
          <w:smallCaps w:val="0"/>
          <w:noProof w:val="0"/>
          <w:color w:val="282828"/>
          <w:sz w:val="24"/>
          <w:szCs w:val="24"/>
          <w:lang w:val="en-GB"/>
        </w:rPr>
        <w:t xml:space="preserve"> Language Teaching: Bottom-up Curriculum Implementation.</w:t>
      </w:r>
      <w:r w:rsidRPr="195520A1" w:rsidR="75AC5A27">
        <w:rPr>
          <w:rFonts w:ascii="Arial" w:hAnsi="Arial" w:eastAsia="Arial" w:cs="Arial"/>
          <w:b w:val="0"/>
          <w:bCs w:val="0"/>
          <w:i w:val="1"/>
          <w:iCs w:val="1"/>
          <w:caps w:val="0"/>
          <w:smallCaps w:val="0"/>
          <w:noProof w:val="0"/>
          <w:color w:val="282828"/>
          <w:sz w:val="24"/>
          <w:szCs w:val="24"/>
          <w:lang w:val="en-GB"/>
        </w:rPr>
        <w:t xml:space="preserve"> </w:t>
      </w:r>
      <w:r w:rsidRPr="195520A1" w:rsidR="75AC5A27">
        <w:rPr>
          <w:rFonts w:ascii="Arial" w:hAnsi="Arial" w:eastAsia="Arial" w:cs="Arial"/>
          <w:b w:val="0"/>
          <w:bCs w:val="0"/>
          <w:i w:val="0"/>
          <w:iCs w:val="0"/>
          <w:caps w:val="0"/>
          <w:smallCaps w:val="0"/>
          <w:noProof w:val="0"/>
          <w:color w:val="282828"/>
          <w:sz w:val="24"/>
          <w:szCs w:val="24"/>
          <w:lang w:val="en-GB"/>
        </w:rPr>
        <w:t xml:space="preserve">TESOL Quarterly, 54 (1), pp. 118-145. </w:t>
      </w:r>
    </w:p>
    <w:p xmlns:wp14="http://schemas.microsoft.com/office/word/2010/wordml" w:rsidP="63F27876" w14:paraId="0CBB02DE" wp14:textId="7C4E74FA">
      <w:pPr>
        <w:spacing w:after="160" w:line="259" w:lineRule="auto"/>
        <w:ind w:left="0"/>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282828"/>
          <w:sz w:val="24"/>
          <w:szCs w:val="24"/>
          <w:lang w:val="en-GB"/>
        </w:rPr>
        <w:t xml:space="preserve">Galloway and </w:t>
      </w:r>
      <w:proofErr w:type="spellStart"/>
      <w:r w:rsidRPr="63F27876" w:rsidR="75AC5A27">
        <w:rPr>
          <w:rFonts w:ascii="Arial" w:hAnsi="Arial" w:eastAsia="Arial" w:cs="Arial"/>
          <w:b w:val="0"/>
          <w:bCs w:val="0"/>
          <w:i w:val="0"/>
          <w:iCs w:val="0"/>
          <w:caps w:val="0"/>
          <w:smallCaps w:val="0"/>
          <w:noProof w:val="0"/>
          <w:color w:val="282828"/>
          <w:sz w:val="24"/>
          <w:szCs w:val="24"/>
          <w:lang w:val="en-GB"/>
        </w:rPr>
        <w:t>Numajiri</w:t>
      </w:r>
      <w:proofErr w:type="spellEnd"/>
      <w:r w:rsidRPr="63F27876" w:rsidR="75AC5A27">
        <w:rPr>
          <w:rFonts w:ascii="Arial" w:hAnsi="Arial" w:eastAsia="Arial" w:cs="Arial"/>
          <w:b w:val="0"/>
          <w:bCs w:val="0"/>
          <w:i w:val="0"/>
          <w:iCs w:val="0"/>
          <w:caps w:val="0"/>
          <w:smallCaps w:val="0"/>
          <w:noProof w:val="0"/>
          <w:color w:val="282828"/>
          <w:sz w:val="24"/>
          <w:szCs w:val="24"/>
          <w:lang w:val="en-GB"/>
        </w:rPr>
        <w:t xml:space="preserve"> (2020) reports on a study with preservice and in-service TESOL practitioners taking a Global </w:t>
      </w:r>
      <w:proofErr w:type="spellStart"/>
      <w:r w:rsidRPr="63F27876" w:rsidR="75AC5A27">
        <w:rPr>
          <w:rFonts w:ascii="Arial" w:hAnsi="Arial" w:eastAsia="Arial" w:cs="Arial"/>
          <w:b w:val="0"/>
          <w:bCs w:val="0"/>
          <w:i w:val="0"/>
          <w:iCs w:val="0"/>
          <w:caps w:val="0"/>
          <w:smallCaps w:val="0"/>
          <w:noProof w:val="0"/>
          <w:color w:val="282828"/>
          <w:sz w:val="24"/>
          <w:szCs w:val="24"/>
          <w:lang w:val="en-GB"/>
        </w:rPr>
        <w:t>Englishes</w:t>
      </w:r>
      <w:proofErr w:type="spellEnd"/>
      <w:r w:rsidRPr="63F27876" w:rsidR="75AC5A27">
        <w:rPr>
          <w:rFonts w:ascii="Arial" w:hAnsi="Arial" w:eastAsia="Arial" w:cs="Arial"/>
          <w:b w:val="0"/>
          <w:bCs w:val="0"/>
          <w:i w:val="0"/>
          <w:iCs w:val="0"/>
          <w:caps w:val="0"/>
          <w:smallCaps w:val="0"/>
          <w:noProof w:val="0"/>
          <w:color w:val="282828"/>
          <w:sz w:val="24"/>
          <w:szCs w:val="24"/>
          <w:lang w:val="en-GB"/>
        </w:rPr>
        <w:t xml:space="preserve"> for Language Teaching (GELT) option course on a 1-year Master’s in TESOL programme at a Russell Group university in the United Kingdom. The study explores attitudes towards GELT but also towards the proposals for, and barriers to, curriculum innovation as well as factors influencing such attitudes. </w:t>
      </w: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The data were gathered from students at the start of the course from two cohorts in 2016 and 2017. An online questionnaire (n = 47) was administered via SurveyMonkey, and interviews (n = 21) were conducted in the same week and a pilot study in 2015 (n = 20).  The questionnaire included open and closed questions and attitudes towards GELT and to the course, and the GELT proposals and barriers were explored using a 4- point Likert scale from 1 (strongly disagree) to 4 (strongly agree). Semi-structured interviews started with questions about language learning and/or teaching backgrounds, followed by questions about GELT and the proposals and barriers.</w:t>
      </w:r>
    </w:p>
    <w:p xmlns:wp14="http://schemas.microsoft.com/office/word/2010/wordml" w:rsidP="63F27876" w14:paraId="01499AC6" wp14:textId="1820288D">
      <w:pPr>
        <w:spacing w:after="160" w:line="259" w:lineRule="auto"/>
        <w:ind w:left="0"/>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282828"/>
          <w:sz w:val="24"/>
          <w:szCs w:val="24"/>
          <w:lang w:val="en-GB"/>
        </w:rPr>
        <w:t xml:space="preserve">Rose and Galloway (2019) also reported on this data, using the pre- and post-course data to address the following </w:t>
      </w: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research questions:</w:t>
      </w:r>
    </w:p>
    <w:p xmlns:wp14="http://schemas.microsoft.com/office/word/2010/wordml" w:rsidP="63F27876" w14:paraId="6C9641F8" wp14:textId="2469EB19">
      <w:pPr>
        <w:pStyle w:val="ListParagraph"/>
        <w:numPr>
          <w:ilvl w:val="0"/>
          <w:numId w:val="1"/>
        </w:numPr>
        <w:spacing w:after="160" w:line="259"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What are pre-service and in-service TESOL practitioners’ attitudes towards the GELT course and its relevance for their own teaching practice?</w:t>
      </w:r>
    </w:p>
    <w:p xmlns:wp14="http://schemas.microsoft.com/office/word/2010/wordml" w:rsidP="63F27876" w14:paraId="333D0C5F" wp14:textId="57C86CAC">
      <w:pPr>
        <w:pStyle w:val="ListParagraph"/>
        <w:numPr>
          <w:ilvl w:val="0"/>
          <w:numId w:val="1"/>
        </w:numPr>
        <w:spacing w:after="160" w:line="259"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What are their attitudes towards the proposals and barriers for GELT put forward in the literature?</w:t>
      </w:r>
    </w:p>
    <w:p xmlns:wp14="http://schemas.microsoft.com/office/word/2010/wordml" w:rsidP="63F27876" w14:paraId="359CA5AA" wp14:textId="4D7CE890">
      <w:pPr>
        <w:pStyle w:val="ListParagraph"/>
        <w:numPr>
          <w:ilvl w:val="0"/>
          <w:numId w:val="1"/>
        </w:numPr>
        <w:spacing w:after="160" w:line="259"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To what extent did the GELT course influence their attitudes?</w:t>
      </w:r>
    </w:p>
    <w:p xmlns:wp14="http://schemas.microsoft.com/office/word/2010/wordml" w:rsidP="63F27876" w14:paraId="1853B9E3" wp14:textId="77EBE268">
      <w:pPr>
        <w:spacing w:after="160" w:line="259"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63F27876" w:rsidR="75AC5A27">
        <w:rPr>
          <w:rFonts w:ascii="Arial" w:hAnsi="Arial" w:eastAsia="Arial" w:cs="Arial"/>
          <w:b w:val="0"/>
          <w:bCs w:val="0"/>
          <w:i w:val="0"/>
          <w:iCs w:val="0"/>
          <w:caps w:val="0"/>
          <w:smallCaps w:val="0"/>
          <w:noProof w:val="0"/>
          <w:color w:val="000000" w:themeColor="text1" w:themeTint="FF" w:themeShade="FF"/>
          <w:sz w:val="24"/>
          <w:szCs w:val="24"/>
          <w:lang w:val="en-GB"/>
        </w:rPr>
        <w:t xml:space="preserve">Data were collected via an online questionnaire (n=41) at the start and end of the course. Interviews (n=21) were also conducted before and after the course, followed by 6 post-course focus groups (n=27). </w:t>
      </w:r>
    </w:p>
    <w:p xmlns:wp14="http://schemas.microsoft.com/office/word/2010/wordml" w:rsidP="63F27876" w14:paraId="0B886440" wp14:textId="179D9560">
      <w:pPr>
        <w:spacing w:after="160" w:line="259" w:lineRule="auto"/>
        <w:ind w:left="0"/>
        <w:rPr>
          <w:rFonts w:ascii="Arial" w:hAnsi="Arial" w:eastAsia="Arial" w:cs="Arial"/>
          <w:b w:val="0"/>
          <w:bCs w:val="0"/>
          <w:i w:val="0"/>
          <w:iCs w:val="0"/>
          <w:caps w:val="0"/>
          <w:smallCaps w:val="0"/>
          <w:noProof w:val="0"/>
          <w:color w:val="000000" w:themeColor="text1" w:themeTint="FF" w:themeShade="FF"/>
          <w:sz w:val="24"/>
          <w:szCs w:val="24"/>
          <w:lang w:val="en-GB"/>
        </w:rPr>
      </w:pPr>
      <w:r w:rsidRPr="2B4C5EDA" w:rsidR="75AC5A27">
        <w:rPr>
          <w:rFonts w:ascii="Arial" w:hAnsi="Arial" w:eastAsia="Arial" w:cs="Arial"/>
          <w:b w:val="0"/>
          <w:bCs w:val="0"/>
          <w:i w:val="0"/>
          <w:iCs w:val="0"/>
          <w:caps w:val="0"/>
          <w:smallCaps w:val="0"/>
          <w:noProof w:val="0"/>
          <w:color w:val="000000" w:themeColor="text1" w:themeTint="FF" w:themeShade="FF"/>
          <w:sz w:val="24"/>
          <w:szCs w:val="24"/>
          <w:lang w:val="en-US"/>
        </w:rPr>
        <w:t>For transparency purposes and to facilitate replication studies we have shared the questionnaires, interviews and focus group guides and consent forms.</w:t>
      </w:r>
    </w:p>
    <w:p xmlns:wp14="http://schemas.microsoft.com/office/word/2010/wordml" w:rsidP="63F27876" w14:paraId="5E5787A5" wp14:textId="038F56A5">
      <w:pPr>
        <w:pStyle w:val="Normal"/>
        <w:rPr>
          <w:rFonts w:ascii="Arial" w:hAnsi="Arial" w:eastAsia="Arial" w:cs="Arial"/>
          <w:sz w:val="28"/>
          <w:szCs w:val="28"/>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3">
    <w:nsid w:val="1244f9f1"/>
    <w:multiLevelType xmlns:w="http://schemas.openxmlformats.org/wordprocessingml/2006/main" w:val="hybridMultilevel"/>
    <w:lvl xmlns:w="http://schemas.openxmlformats.org/wordprocessingml/2006/main" w:ilvl="0">
      <w:start w:val="3"/>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369f651d"/>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01749de"/>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7B0699"/>
    <w:rsid w:val="0E10367C"/>
    <w:rsid w:val="195520A1"/>
    <w:rsid w:val="2B4C5EDA"/>
    <w:rsid w:val="5C7B0699"/>
    <w:rsid w:val="63F27876"/>
    <w:rsid w:val="75AC5A27"/>
    <w:rsid w:val="77482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B0699"/>
  <w15:chartTrackingRefBased/>
  <w15:docId w15:val="{E3360505-0617-4343-A29E-316B684659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3e4cb58dc4c841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Nadia Lamprecht</dc:creator>
  <keywords/>
  <dc:description/>
  <lastModifiedBy>Nadia Lamprecht</lastModifiedBy>
  <revision>4</revision>
  <dcterms:created xsi:type="dcterms:W3CDTF">2023-03-23T22:15:42.7794304Z</dcterms:created>
  <dcterms:modified xsi:type="dcterms:W3CDTF">2023-03-27T17:48:55.6464076Z</dcterms:modified>
</coreProperties>
</file>